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5D9" w:rsidRPr="00DA0354" w:rsidRDefault="003365D9" w:rsidP="003365D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DA0354">
        <w:rPr>
          <w:rFonts w:ascii="Times New Roman" w:hAnsi="Times New Roman"/>
          <w:b/>
          <w:color w:val="000000"/>
          <w:sz w:val="24"/>
          <w:szCs w:val="24"/>
          <w:lang w:val="uk-UA"/>
        </w:rPr>
        <w:t>Екзаменаційні питання для лікарів-інтернів «Дитяча стоматологія та Ортодонтія»</w:t>
      </w:r>
    </w:p>
    <w:p w:rsidR="00546D21" w:rsidRPr="003365D9" w:rsidRDefault="00546D21" w:rsidP="00546D21">
      <w:pPr>
        <w:widowControl w:val="0"/>
        <w:numPr>
          <w:ilvl w:val="0"/>
          <w:numId w:val="1"/>
        </w:numPr>
        <w:tabs>
          <w:tab w:val="num" w:pos="-220"/>
          <w:tab w:val="left" w:pos="567"/>
        </w:tabs>
        <w:autoSpaceDE w:val="0"/>
        <w:autoSpaceDN w:val="0"/>
        <w:spacing w:after="0" w:line="240" w:lineRule="auto"/>
        <w:ind w:left="0" w:hanging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3365D9">
        <w:rPr>
          <w:rFonts w:ascii="Times New Roman" w:hAnsi="Times New Roman"/>
          <w:color w:val="000000"/>
          <w:sz w:val="24"/>
          <w:szCs w:val="24"/>
        </w:rPr>
        <w:t>Основні складові пародонта. Назвіть морфофункціональні особливості тканин пародонту у дітей</w:t>
      </w:r>
      <w:r w:rsidRPr="003365D9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3365D9">
        <w:rPr>
          <w:rFonts w:ascii="Times New Roman" w:hAnsi="Times New Roman"/>
          <w:color w:val="000000"/>
          <w:sz w:val="24"/>
          <w:szCs w:val="24"/>
        </w:rPr>
        <w:t>різного віку.</w:t>
      </w:r>
    </w:p>
    <w:p w:rsidR="00546D21" w:rsidRPr="003365D9" w:rsidRDefault="00546D21" w:rsidP="00546D21">
      <w:pPr>
        <w:widowControl w:val="0"/>
        <w:numPr>
          <w:ilvl w:val="0"/>
          <w:numId w:val="1"/>
        </w:numPr>
        <w:tabs>
          <w:tab w:val="num" w:pos="-220"/>
          <w:tab w:val="left" w:pos="567"/>
        </w:tabs>
        <w:autoSpaceDE w:val="0"/>
        <w:autoSpaceDN w:val="0"/>
        <w:spacing w:after="0" w:line="24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</w:rPr>
        <w:t>Проведіть диференціальну діагностику між різними клінічними формами гінгівітів.</w:t>
      </w:r>
    </w:p>
    <w:p w:rsidR="00546D21" w:rsidRPr="003365D9" w:rsidRDefault="00546D21" w:rsidP="00546D21">
      <w:pPr>
        <w:widowControl w:val="0"/>
        <w:numPr>
          <w:ilvl w:val="0"/>
          <w:numId w:val="1"/>
        </w:numPr>
        <w:tabs>
          <w:tab w:val="num" w:pos="-220"/>
          <w:tab w:val="left" w:pos="567"/>
        </w:tabs>
        <w:autoSpaceDE w:val="0"/>
        <w:autoSpaceDN w:val="0"/>
        <w:spacing w:after="0" w:line="24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</w:rPr>
        <w:t>Дайте клінічну характеристику та назвіть диференційні ознаки хронічного кандидозу СОПР у дітей.</w:t>
      </w:r>
    </w:p>
    <w:p w:rsidR="00546D21" w:rsidRPr="003365D9" w:rsidRDefault="00546D21" w:rsidP="00546D21">
      <w:pPr>
        <w:widowControl w:val="0"/>
        <w:numPr>
          <w:ilvl w:val="0"/>
          <w:numId w:val="1"/>
        </w:numPr>
        <w:tabs>
          <w:tab w:val="num" w:pos="-220"/>
          <w:tab w:val="left" w:pos="567"/>
        </w:tabs>
        <w:autoSpaceDE w:val="0"/>
        <w:autoSpaceDN w:val="0"/>
        <w:spacing w:after="0" w:line="24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</w:rPr>
        <w:t>Назвіть причини, механізм розвитку, та дайте характеристику клінічним проявам багатоформної ексудативної еритеми.</w:t>
      </w:r>
    </w:p>
    <w:p w:rsidR="00546D21" w:rsidRPr="003365D9" w:rsidRDefault="00546D21" w:rsidP="00546D21">
      <w:pPr>
        <w:widowControl w:val="0"/>
        <w:numPr>
          <w:ilvl w:val="0"/>
          <w:numId w:val="1"/>
        </w:numPr>
        <w:tabs>
          <w:tab w:val="num" w:pos="-220"/>
          <w:tab w:val="left" w:pos="567"/>
        </w:tabs>
        <w:autoSpaceDE w:val="0"/>
        <w:autoSpaceDN w:val="0"/>
        <w:spacing w:after="0" w:line="24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</w:rPr>
        <w:t>Назвіть причини, механізм розвитку та опишіть клінічний перебіг хронічного рецидивуючого афтозного стоматиту (ХРАС).</w:t>
      </w:r>
    </w:p>
    <w:p w:rsidR="00546D21" w:rsidRPr="003365D9" w:rsidRDefault="00546D21" w:rsidP="00546D2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 xml:space="preserve">6 . </w:t>
      </w:r>
      <w:r w:rsidRPr="003365D9">
        <w:rPr>
          <w:rFonts w:ascii="Times New Roman" w:hAnsi="Times New Roman"/>
          <w:sz w:val="24"/>
          <w:szCs w:val="24"/>
        </w:rPr>
        <w:t>Індексна оцінка стану тканин пародонту (РМА, СРІ, ПІ).</w:t>
      </w:r>
    </w:p>
    <w:p w:rsidR="00546D21" w:rsidRPr="003365D9" w:rsidRDefault="00546D21" w:rsidP="00546D2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 xml:space="preserve">7. </w:t>
      </w:r>
      <w:r w:rsidRPr="003365D9">
        <w:rPr>
          <w:rFonts w:ascii="Times New Roman" w:hAnsi="Times New Roman"/>
          <w:sz w:val="24"/>
          <w:szCs w:val="24"/>
        </w:rPr>
        <w:t>Карієсогенна ситуація в порожнині рота. Її складові та методика  виявлення.</w:t>
      </w:r>
    </w:p>
    <w:p w:rsidR="00546D21" w:rsidRPr="003365D9" w:rsidRDefault="00546D21" w:rsidP="00546D2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 xml:space="preserve">8. </w:t>
      </w:r>
      <w:r w:rsidRPr="003365D9">
        <w:rPr>
          <w:rFonts w:ascii="Times New Roman" w:hAnsi="Times New Roman"/>
          <w:sz w:val="24"/>
          <w:szCs w:val="24"/>
        </w:rPr>
        <w:t>Профілактика карієсу зубів препаратами фтору. Показання, визначення дози, механізм дії фтору, оцінка ефективності.</w:t>
      </w:r>
    </w:p>
    <w:p w:rsidR="00546D21" w:rsidRPr="003365D9" w:rsidRDefault="00546D21" w:rsidP="00546D2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 xml:space="preserve">9. </w:t>
      </w:r>
      <w:r w:rsidRPr="003365D9">
        <w:rPr>
          <w:rFonts w:ascii="Times New Roman" w:hAnsi="Times New Roman"/>
          <w:sz w:val="24"/>
          <w:szCs w:val="24"/>
        </w:rPr>
        <w:t>Професійна гігієна порожнини рота. Сучасні засоби, методика проведення.</w:t>
      </w:r>
    </w:p>
    <w:p w:rsidR="00546D21" w:rsidRPr="003365D9" w:rsidRDefault="00546D21" w:rsidP="00546D2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 xml:space="preserve">10. </w:t>
      </w:r>
      <w:r w:rsidRPr="003365D9">
        <w:rPr>
          <w:rFonts w:ascii="Times New Roman" w:hAnsi="Times New Roman"/>
          <w:sz w:val="24"/>
          <w:szCs w:val="24"/>
        </w:rPr>
        <w:t>Клініка, діагностика, диференціальна діагностика карієсу тимчасових зубів у дітей.</w:t>
      </w:r>
    </w:p>
    <w:p w:rsidR="00546D21" w:rsidRPr="003365D9" w:rsidRDefault="00546D21" w:rsidP="00546D2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 xml:space="preserve">11. </w:t>
      </w:r>
      <w:r w:rsidRPr="003365D9">
        <w:rPr>
          <w:rFonts w:ascii="Times New Roman" w:hAnsi="Times New Roman"/>
          <w:sz w:val="24"/>
          <w:szCs w:val="24"/>
        </w:rPr>
        <w:t>Клініка, діагностика, диференціальна діагностика карієсу постійних зубів у дітей.</w:t>
      </w:r>
    </w:p>
    <w:p w:rsidR="00546D21" w:rsidRPr="003365D9" w:rsidRDefault="00546D21" w:rsidP="00546D2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 xml:space="preserve">12. </w:t>
      </w:r>
      <w:r w:rsidRPr="003365D9">
        <w:rPr>
          <w:rFonts w:ascii="Times New Roman" w:hAnsi="Times New Roman"/>
          <w:sz w:val="24"/>
          <w:szCs w:val="24"/>
        </w:rPr>
        <w:t>Лікування карієсу тимчасових зубів у дітей. Сучасні методики лікування. Пломбувальні матеріали, їх вибір. Лікування карієсу постійних зубів у дітей. Сучасні лікувальні засоби та пломбувальні матеріали, їх вибір</w:t>
      </w:r>
    </w:p>
    <w:p w:rsidR="00546D21" w:rsidRPr="003365D9" w:rsidRDefault="00546D21" w:rsidP="00546D2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13.</w:t>
      </w:r>
      <w:r w:rsidRPr="003365D9">
        <w:rPr>
          <w:rFonts w:ascii="Times New Roman" w:hAnsi="Times New Roman"/>
          <w:sz w:val="24"/>
          <w:szCs w:val="24"/>
        </w:rPr>
        <w:t xml:space="preserve"> Системна та місцева  гіпоплазія емалі. Причини розвитку, клініка, диференціальна діагностика, лікування.</w:t>
      </w:r>
      <w:r w:rsidRPr="003365D9">
        <w:rPr>
          <w:rFonts w:ascii="Times New Roman" w:hAnsi="Times New Roman"/>
          <w:sz w:val="24"/>
          <w:szCs w:val="24"/>
          <w:lang w:val="uk-UA"/>
        </w:rPr>
        <w:t xml:space="preserve"> . </w:t>
      </w:r>
      <w:r w:rsidRPr="003365D9">
        <w:rPr>
          <w:rFonts w:ascii="Times New Roman" w:hAnsi="Times New Roman"/>
          <w:sz w:val="24"/>
          <w:szCs w:val="24"/>
        </w:rPr>
        <w:t>Флюороз. Причини розвитку, клініка, діагностика, диференціальна діагностика. Тактика лікування і профілактики</w:t>
      </w:r>
      <w:r w:rsidRPr="003365D9">
        <w:rPr>
          <w:rFonts w:ascii="Times New Roman" w:hAnsi="Times New Roman"/>
          <w:sz w:val="24"/>
          <w:szCs w:val="24"/>
          <w:lang w:val="uk-UA"/>
        </w:rPr>
        <w:t>.</w:t>
      </w:r>
    </w:p>
    <w:p w:rsidR="00546D21" w:rsidRPr="003365D9" w:rsidRDefault="00546D21" w:rsidP="00546D2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 xml:space="preserve">14. </w:t>
      </w:r>
      <w:r w:rsidRPr="003365D9">
        <w:rPr>
          <w:rFonts w:ascii="Times New Roman" w:hAnsi="Times New Roman"/>
          <w:sz w:val="24"/>
          <w:szCs w:val="24"/>
        </w:rPr>
        <w:t>Спадкові вади розвитку зубів (синдром Стентона-Капдепона, недосконалий дентино- та амелогенез). Причини розвитку, клініка, лікувальна тактика.</w:t>
      </w:r>
    </w:p>
    <w:p w:rsidR="00546D21" w:rsidRPr="003365D9" w:rsidRDefault="00546D21" w:rsidP="00546D2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1</w:t>
      </w:r>
      <w:r w:rsidR="00601679" w:rsidRPr="003365D9">
        <w:rPr>
          <w:rFonts w:ascii="Times New Roman" w:hAnsi="Times New Roman"/>
          <w:sz w:val="24"/>
          <w:szCs w:val="24"/>
          <w:lang w:val="uk-UA"/>
        </w:rPr>
        <w:t>5</w:t>
      </w:r>
      <w:r w:rsidRPr="003365D9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3365D9">
        <w:rPr>
          <w:rFonts w:ascii="Times New Roman" w:hAnsi="Times New Roman"/>
          <w:sz w:val="24"/>
          <w:szCs w:val="24"/>
        </w:rPr>
        <w:t>Анатомо-фізіологічні особливості пульпи тимчасових та постійних зубів на різних етапах розвитку зубів. Клініка, діагностика, диференціальна діагностика гострих пульпітів тимчасових зубів у дітей.</w:t>
      </w:r>
    </w:p>
    <w:p w:rsidR="00546D21" w:rsidRPr="003365D9" w:rsidRDefault="00601679" w:rsidP="00546D21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16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3365D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46D21" w:rsidRPr="003365D9">
        <w:rPr>
          <w:rFonts w:ascii="Times New Roman" w:hAnsi="Times New Roman"/>
          <w:sz w:val="24"/>
          <w:szCs w:val="24"/>
        </w:rPr>
        <w:t xml:space="preserve">Клініка, діагностика, диференціальна діагностика хронічних пульпітів тимчасових зубів у дітей.  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17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.</w:t>
      </w:r>
      <w:r w:rsidRPr="003365D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46D21" w:rsidRPr="003365D9">
        <w:rPr>
          <w:rFonts w:ascii="Times New Roman" w:hAnsi="Times New Roman"/>
          <w:sz w:val="24"/>
          <w:szCs w:val="24"/>
        </w:rPr>
        <w:t>Клініка, діагностика, диференціальна діагностика хронічних пульпітів постійних зубів у дітей.</w:t>
      </w:r>
      <w:r w:rsidRPr="003365D9">
        <w:rPr>
          <w:rFonts w:ascii="Times New Roman" w:hAnsi="Times New Roman"/>
          <w:sz w:val="24"/>
          <w:szCs w:val="24"/>
        </w:rPr>
        <w:t xml:space="preserve"> Клініка, діагностика, диференціальна діагностика гострих пульпітів постійних зубів у дітей.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</w:rPr>
        <w:t>Гострий травматичний пульпіт тимчасових і постійних зубів у дітей. Тактика лікування. Вибір лікарських засобів.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18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. Клініка, діагностика, диференціальна діагностика і лікування пульпіту тимчасових і постійних зубів, ускладненого періодонтитом.</w:t>
      </w:r>
      <w:r w:rsidRPr="003365D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65D9">
        <w:rPr>
          <w:rFonts w:ascii="Times New Roman" w:hAnsi="Times New Roman"/>
          <w:sz w:val="24"/>
          <w:szCs w:val="24"/>
        </w:rPr>
        <w:t>Біологічний метод лікування пульпіту у дітей. Показання, методика, сучасні лікувальні засоби, механізм їх дії. Контроль ефективності лікування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19.</w:t>
      </w:r>
      <w:r w:rsidR="00546D21" w:rsidRPr="003365D9">
        <w:rPr>
          <w:rFonts w:ascii="Times New Roman" w:hAnsi="Times New Roman"/>
          <w:sz w:val="24"/>
          <w:szCs w:val="24"/>
        </w:rPr>
        <w:t>Вітальна ампутація пульпи постійних зубів у дітей. Показання, методика виконання, прогноз. Сучасні методи знеболювання при лікуванні пульпіту у дітей, вибір місцевознеболюючих препаратів.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 xml:space="preserve">20. 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46D21" w:rsidRPr="003365D9">
        <w:rPr>
          <w:rFonts w:ascii="Times New Roman" w:hAnsi="Times New Roman"/>
          <w:sz w:val="24"/>
          <w:szCs w:val="24"/>
        </w:rPr>
        <w:t>Вітальна екстирпація пульпи постійних зубів у дітей. Показання, методика виконання у дітей. Особливості знеболювання в дитячому віці, вибір місцевознеболюючих препаратів.Девітальна ампутація в тимчасових зубах. Показання, методика проведення, вибір девіталізуючих засобів, контроль ефективності.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21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.</w:t>
      </w:r>
      <w:r w:rsidR="00546D21" w:rsidRPr="003365D9">
        <w:rPr>
          <w:rFonts w:ascii="Times New Roman" w:hAnsi="Times New Roman"/>
          <w:sz w:val="24"/>
          <w:szCs w:val="24"/>
        </w:rPr>
        <w:t xml:space="preserve"> Пломбування кореневих каналів тимчасових і постійних зубів у дітей при лікуванні пульпіту. Вибір матеріалу для кореневих пломб в залежності від стадії розвитку зуба. Методика пломбування, контроль ефективності.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22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.</w:t>
      </w:r>
      <w:r w:rsidR="00546D21" w:rsidRPr="003365D9">
        <w:rPr>
          <w:rFonts w:ascii="Times New Roman" w:hAnsi="Times New Roman"/>
          <w:sz w:val="24"/>
          <w:szCs w:val="24"/>
        </w:rPr>
        <w:t xml:space="preserve"> Лікування гострого періодонтиту тимчасових і постійних зубів у дітей.</w:t>
      </w:r>
      <w:r w:rsidRPr="003365D9">
        <w:rPr>
          <w:rFonts w:ascii="Times New Roman" w:hAnsi="Times New Roman"/>
          <w:sz w:val="24"/>
          <w:szCs w:val="24"/>
        </w:rPr>
        <w:t xml:space="preserve"> Лікування загострення хронічного періодонтиту тимчасових і постійних зубів у дітей.</w:t>
      </w:r>
      <w:r w:rsidRPr="003365D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65D9">
        <w:rPr>
          <w:rFonts w:ascii="Times New Roman" w:hAnsi="Times New Roman"/>
          <w:sz w:val="24"/>
          <w:szCs w:val="24"/>
        </w:rPr>
        <w:t>Принципи лікування хронічного періодонтиту тимчасових і постійних зубів у дітей. Вибір методу лікування хронічного періодонтиту тимчасових зубів.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lastRenderedPageBreak/>
        <w:t>23.</w:t>
      </w:r>
      <w:r w:rsidR="00546D21" w:rsidRPr="003365D9">
        <w:rPr>
          <w:rFonts w:ascii="Times New Roman" w:hAnsi="Times New Roman"/>
          <w:sz w:val="24"/>
          <w:szCs w:val="24"/>
        </w:rPr>
        <w:t>Класифікація травматичних уражень зубів у дітей. Клініка, діагностика, тактика лікування травматичних уражень тимчасових зубів. Прогноз.</w:t>
      </w:r>
      <w:r w:rsidRPr="003365D9">
        <w:rPr>
          <w:rFonts w:ascii="Times New Roman" w:hAnsi="Times New Roman"/>
          <w:sz w:val="24"/>
          <w:szCs w:val="24"/>
        </w:rPr>
        <w:t xml:space="preserve"> Клініка, діагностика і тактика лікування травматичних пошкоджень постійних зубів у дітей.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24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.</w:t>
      </w:r>
      <w:r w:rsidR="00546D21" w:rsidRPr="003365D9">
        <w:rPr>
          <w:rFonts w:ascii="Times New Roman" w:hAnsi="Times New Roman"/>
          <w:sz w:val="24"/>
          <w:szCs w:val="24"/>
        </w:rPr>
        <w:t xml:space="preserve"> Захворювання тканин пародонту у дітей. Класифікація. Етіологія та патогенез. 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25.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Класифікація доброякісних пухлин та  пухлиноподібних  новоутворень м'яких тканин щелепно-лицевої ділянки.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26.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Клініка та диференційна діагностика поверхневих та глибоких гемангіом щелепно-лицевої ділянки.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27.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Диференційна діагностика лімфангіом щелепно-лицевої ділянки від інших м’якотканних пухлин.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28</w:t>
      </w:r>
      <w:r w:rsidRPr="003365D9">
        <w:rPr>
          <w:rFonts w:ascii="Times New Roman" w:hAnsi="Times New Roman"/>
          <w:b/>
          <w:i/>
          <w:sz w:val="24"/>
          <w:szCs w:val="24"/>
          <w:lang w:val="uk-UA"/>
        </w:rPr>
        <w:t>.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Класифікація та клінічні ознаки злоякісних пухлин м`яких тканин щелепно-лицевої ділянки.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29.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Клінічні, патоморфологічні та інші додаткові ознаки злоякісних пухлин щелепно-лицевої ділянки.</w:t>
      </w:r>
      <w:r w:rsidRPr="003365D9">
        <w:rPr>
          <w:rFonts w:ascii="Times New Roman" w:hAnsi="Times New Roman"/>
          <w:sz w:val="24"/>
          <w:szCs w:val="24"/>
          <w:lang w:val="uk-UA"/>
        </w:rPr>
        <w:t xml:space="preserve"> Методи діагностики злоякісних пухлин щелепно-лицевої ділянки.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30.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Диференційна діагностика злоякісних і доброякісних пухлин.</w:t>
      </w:r>
      <w:r w:rsidRPr="003365D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65D9">
        <w:rPr>
          <w:rFonts w:ascii="Times New Roman" w:hAnsi="Times New Roman"/>
          <w:sz w:val="24"/>
          <w:szCs w:val="24"/>
        </w:rPr>
        <w:t>Злоякісні новоутворення щелеп.</w:t>
      </w:r>
      <w:r w:rsidRPr="003365D9">
        <w:rPr>
          <w:rFonts w:ascii="Times New Roman" w:hAnsi="Times New Roman"/>
          <w:sz w:val="24"/>
          <w:szCs w:val="24"/>
          <w:lang w:val="uk-UA"/>
        </w:rPr>
        <w:t xml:space="preserve"> Саркома Юінга.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65D9">
        <w:rPr>
          <w:rFonts w:ascii="Times New Roman" w:hAnsi="Times New Roman"/>
          <w:sz w:val="24"/>
          <w:szCs w:val="24"/>
          <w:lang w:val="uk-UA"/>
        </w:rPr>
        <w:t>Комплексне лікування злоякісних пухлин щелепно-лицевої ділянки.</w:t>
      </w:r>
    </w:p>
    <w:p w:rsidR="00601679" w:rsidRPr="003365D9" w:rsidRDefault="00601679" w:rsidP="0060167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31.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 xml:space="preserve">Класифікація переломів тіла нижньої щелепи. </w:t>
      </w:r>
      <w:r w:rsidR="00546D21" w:rsidRPr="003365D9">
        <w:rPr>
          <w:rFonts w:ascii="Times New Roman" w:hAnsi="Times New Roman"/>
          <w:sz w:val="24"/>
          <w:szCs w:val="24"/>
        </w:rPr>
        <w:t>Клініка, діагностика, методи лікування в залежності від віку дитини.</w:t>
      </w:r>
      <w:r w:rsidRPr="003365D9">
        <w:rPr>
          <w:rFonts w:ascii="Times New Roman" w:hAnsi="Times New Roman"/>
          <w:sz w:val="24"/>
          <w:szCs w:val="24"/>
        </w:rPr>
        <w:t xml:space="preserve"> Класифікація, клінічна картина переломів верхньої щелепи. Методи їх діагностики</w:t>
      </w:r>
    </w:p>
    <w:p w:rsidR="003365D9" w:rsidRPr="003365D9" w:rsidRDefault="0060167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 xml:space="preserve">32. 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Комплексне лікування переломів верхньої щелепи  в  залежності від тяжкості травми та віку дитини.</w:t>
      </w:r>
      <w:r w:rsidRPr="003365D9">
        <w:rPr>
          <w:rFonts w:ascii="Times New Roman" w:hAnsi="Times New Roman"/>
          <w:sz w:val="24"/>
          <w:szCs w:val="24"/>
          <w:lang w:val="uk-UA"/>
        </w:rPr>
        <w:t xml:space="preserve"> Особливості лікування переломів щелеп у дітей в період змінного прикусу.</w:t>
      </w:r>
    </w:p>
    <w:p w:rsidR="003365D9" w:rsidRPr="003365D9" w:rsidRDefault="003365D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33.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Етіологія, класифікація вроджених незрощень верхньої губи та піднебіння.</w:t>
      </w:r>
      <w:r w:rsidRPr="003365D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365D9">
        <w:rPr>
          <w:rFonts w:ascii="Times New Roman" w:hAnsi="Times New Roman"/>
          <w:sz w:val="24"/>
          <w:szCs w:val="24"/>
        </w:rPr>
        <w:t>Вроджені ізольовані незрощення верхньої губи: клініка та принципи хірургічного втручання. Одностороннє наскрізне незрощення верхньої губи та піднебіння: клініка, строки та принципи хірургічного втручання.</w:t>
      </w:r>
    </w:p>
    <w:p w:rsidR="003365D9" w:rsidRPr="003365D9" w:rsidRDefault="003365D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34.</w:t>
      </w:r>
      <w:r w:rsidR="00546D21" w:rsidRPr="003365D9">
        <w:rPr>
          <w:rFonts w:ascii="Times New Roman" w:hAnsi="Times New Roman"/>
          <w:sz w:val="24"/>
          <w:szCs w:val="24"/>
        </w:rPr>
        <w:t>Анатомо-фізіологічні особливості ортогнатичного прикусу в тимчасовому і постійному періодах.</w:t>
      </w:r>
      <w:r w:rsidRPr="003365D9">
        <w:rPr>
          <w:rFonts w:ascii="Times New Roman" w:hAnsi="Times New Roman"/>
          <w:sz w:val="24"/>
          <w:szCs w:val="24"/>
        </w:rPr>
        <w:t xml:space="preserve"> Загальна характеристика ортодонтичної апаратури. Вікові показання та протипоказання до її застосування.</w:t>
      </w:r>
    </w:p>
    <w:p w:rsidR="003365D9" w:rsidRPr="003365D9" w:rsidRDefault="003365D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35. Теорії перебудови  кісткової тканини  що пояснюють процес переміщення зубів при апаратурному лікуванні  (Флюренса, Кінгслея- Валькгофа, Оппенгейма). Сучасні теорії перебудови кісткової тканини під впливом ортодонтичної апаратури (Д. А. Калвеліса, С.С. Райзмана,  Позднякової ).</w:t>
      </w:r>
    </w:p>
    <w:p w:rsidR="003365D9" w:rsidRPr="003365D9" w:rsidRDefault="003365D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36.</w:t>
      </w:r>
      <w:r w:rsidRPr="003365D9">
        <w:rPr>
          <w:rFonts w:ascii="Times New Roman" w:hAnsi="Times New Roman"/>
          <w:sz w:val="24"/>
          <w:szCs w:val="24"/>
        </w:rPr>
        <w:t xml:space="preserve"> Особливості морфологічних і функціональних змін в пародонті при використанні малих, середніх і великих, переривчастих і постійних сил в ортодонтії.</w:t>
      </w:r>
    </w:p>
    <w:p w:rsidR="003365D9" w:rsidRPr="003365D9" w:rsidRDefault="003365D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37.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Вроджені вади зубо-щелепної ділянки, їх причини, діагностика, класифікація.</w:t>
      </w:r>
    </w:p>
    <w:p w:rsidR="003365D9" w:rsidRPr="003365D9" w:rsidRDefault="003365D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38.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Морфологічні і функціональні зрушення в зубощелепному апараті при незрощення верхньої губи, альвеолярного відростка, твердого і м’якого піднебіння.</w:t>
      </w:r>
    </w:p>
    <w:p w:rsidR="00546D21" w:rsidRPr="003365D9" w:rsidRDefault="003365D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39.</w:t>
      </w:r>
      <w:r w:rsidR="00546D21" w:rsidRPr="003365D9">
        <w:rPr>
          <w:rFonts w:ascii="Times New Roman" w:hAnsi="Times New Roman"/>
          <w:sz w:val="24"/>
          <w:szCs w:val="24"/>
        </w:rPr>
        <w:t>Конструктивні особливості, принцип дії, показання до використання</w:t>
      </w:r>
      <w:r w:rsidRPr="003365D9">
        <w:rPr>
          <w:rFonts w:ascii="Times New Roman" w:hAnsi="Times New Roman"/>
          <w:sz w:val="24"/>
          <w:szCs w:val="24"/>
          <w:lang w:val="uk-UA"/>
        </w:rPr>
        <w:t xml:space="preserve"> апаратів механічної дії</w:t>
      </w:r>
      <w:r w:rsidR="00546D21" w:rsidRPr="003365D9">
        <w:rPr>
          <w:rFonts w:ascii="Times New Roman" w:hAnsi="Times New Roman"/>
          <w:sz w:val="24"/>
          <w:szCs w:val="24"/>
        </w:rPr>
        <w:t>.</w:t>
      </w:r>
    </w:p>
    <w:p w:rsidR="003365D9" w:rsidRPr="003365D9" w:rsidRDefault="003365D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40.</w:t>
      </w:r>
      <w:r w:rsidRPr="003365D9">
        <w:rPr>
          <w:rFonts w:ascii="Times New Roman" w:hAnsi="Times New Roman"/>
          <w:sz w:val="24"/>
          <w:szCs w:val="24"/>
        </w:rPr>
        <w:t xml:space="preserve"> Конструктивні особливості, принцип дії, показання до використання</w:t>
      </w:r>
      <w:r w:rsidRPr="003365D9">
        <w:rPr>
          <w:rFonts w:ascii="Times New Roman" w:hAnsi="Times New Roman"/>
          <w:sz w:val="24"/>
          <w:szCs w:val="24"/>
          <w:lang w:val="uk-UA"/>
        </w:rPr>
        <w:t xml:space="preserve"> апаратів функціональної дії</w:t>
      </w:r>
      <w:r w:rsidRPr="003365D9">
        <w:rPr>
          <w:rFonts w:ascii="Times New Roman" w:hAnsi="Times New Roman"/>
          <w:sz w:val="24"/>
          <w:szCs w:val="24"/>
        </w:rPr>
        <w:t>.</w:t>
      </w:r>
    </w:p>
    <w:p w:rsidR="003365D9" w:rsidRPr="003365D9" w:rsidRDefault="003365D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41.</w:t>
      </w:r>
      <w:r w:rsidR="00546D21" w:rsidRPr="003365D9">
        <w:rPr>
          <w:rFonts w:ascii="Times New Roman" w:hAnsi="Times New Roman"/>
          <w:sz w:val="24"/>
          <w:szCs w:val="24"/>
        </w:rPr>
        <w:t>Клініко-лабораторні етапи виготовлення апаратів Френкеля  1-4 типів, їх конструктивні особливості, принцип дії, показання до використання.</w:t>
      </w:r>
    </w:p>
    <w:p w:rsidR="003365D9" w:rsidRPr="003365D9" w:rsidRDefault="003365D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 xml:space="preserve">42. 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Дуги Енгля, їх різновиди, принцип дії, показання до використання.</w:t>
      </w:r>
    </w:p>
    <w:p w:rsidR="003365D9" w:rsidRPr="003365D9" w:rsidRDefault="003365D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43.</w:t>
      </w:r>
      <w:r w:rsidR="00546D21" w:rsidRPr="003365D9">
        <w:rPr>
          <w:rFonts w:ascii="Times New Roman" w:hAnsi="Times New Roman"/>
          <w:sz w:val="24"/>
          <w:szCs w:val="24"/>
          <w:lang w:val="uk-UA"/>
        </w:rPr>
        <w:t>Морфологічні та функціональні порушення в зубо-щелепному апараті, пов’язані з патологією ендокринної системи у людини.</w:t>
      </w:r>
    </w:p>
    <w:p w:rsidR="00546D21" w:rsidRPr="003365D9" w:rsidRDefault="003365D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44.</w:t>
      </w:r>
      <w:r w:rsidR="00546D21" w:rsidRPr="003365D9">
        <w:rPr>
          <w:rFonts w:ascii="Times New Roman" w:hAnsi="Times New Roman"/>
          <w:sz w:val="24"/>
          <w:szCs w:val="24"/>
        </w:rPr>
        <w:t>Конструктивні особливості і принцип дії брекет – систем.</w:t>
      </w:r>
    </w:p>
    <w:p w:rsidR="003365D9" w:rsidRPr="003365D9" w:rsidRDefault="003365D9" w:rsidP="003365D9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  <w:r w:rsidRPr="003365D9">
        <w:rPr>
          <w:rFonts w:ascii="Times New Roman" w:hAnsi="Times New Roman"/>
          <w:sz w:val="24"/>
          <w:szCs w:val="24"/>
          <w:lang w:val="uk-UA"/>
        </w:rPr>
        <w:t>45. Принципи лікування мезіального та дистального прикусів.</w:t>
      </w:r>
    </w:p>
    <w:p w:rsidR="00546D21" w:rsidRDefault="00546D21">
      <w:pPr>
        <w:rPr>
          <w:sz w:val="24"/>
          <w:szCs w:val="24"/>
          <w:lang w:val="uk-UA"/>
        </w:rPr>
      </w:pPr>
    </w:p>
    <w:p w:rsidR="00DA0354" w:rsidRDefault="00DA0354" w:rsidP="00DA0354">
      <w:pPr>
        <w:pStyle w:val="normal"/>
        <w:widowControl w:val="0"/>
        <w:spacing w:after="240"/>
        <w:ind w:left="-141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2073910</wp:posOffset>
            </wp:positionH>
            <wp:positionV relativeFrom="paragraph">
              <wp:posOffset>99695</wp:posOffset>
            </wp:positionV>
            <wp:extent cx="1200150" cy="675640"/>
            <wp:effectExtent l="0" t="0" r="0" b="0"/>
            <wp:wrapNone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7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Завідувач кафедри                                                  професор ЗВО</w:t>
      </w:r>
    </w:p>
    <w:p w:rsidR="00DA0354" w:rsidRDefault="00DA0354" w:rsidP="00DA0354">
      <w:pPr>
        <w:pStyle w:val="normal"/>
        <w:widowControl w:val="0"/>
        <w:spacing w:before="240" w:after="240"/>
        <w:ind w:left="-141"/>
        <w:rPr>
          <w:sz w:val="28"/>
          <w:szCs w:val="28"/>
        </w:rPr>
      </w:pPr>
      <w:r>
        <w:rPr>
          <w:sz w:val="28"/>
          <w:szCs w:val="28"/>
        </w:rPr>
        <w:t>стоматології дитячого віку                                         Микола ДМІТРІЄВ</w:t>
      </w:r>
    </w:p>
    <w:p w:rsidR="00DA0354" w:rsidRPr="003365D9" w:rsidRDefault="00DA0354">
      <w:pPr>
        <w:rPr>
          <w:sz w:val="24"/>
          <w:szCs w:val="24"/>
          <w:lang w:val="uk-UA"/>
        </w:rPr>
      </w:pPr>
    </w:p>
    <w:sectPr w:rsidR="00DA0354" w:rsidRPr="003365D9" w:rsidSect="001C5D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E133B"/>
    <w:multiLevelType w:val="singleLevel"/>
    <w:tmpl w:val="089A6E96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38652F60"/>
    <w:multiLevelType w:val="hybridMultilevel"/>
    <w:tmpl w:val="9D2884FC"/>
    <w:lvl w:ilvl="0" w:tplc="0419000F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</w:lvl>
    <w:lvl w:ilvl="1" w:tplc="3B4052F0">
      <w:start w:val="1"/>
      <w:numFmt w:val="decimal"/>
      <w:lvlText w:val="%2."/>
      <w:lvlJc w:val="left"/>
      <w:pPr>
        <w:tabs>
          <w:tab w:val="num" w:pos="3916"/>
        </w:tabs>
        <w:ind w:left="39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636"/>
        </w:tabs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356"/>
        </w:tabs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076"/>
        </w:tabs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796"/>
        </w:tabs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516"/>
        </w:tabs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236"/>
        </w:tabs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956"/>
        </w:tabs>
        <w:ind w:left="8956" w:hanging="180"/>
      </w:pPr>
    </w:lvl>
  </w:abstractNum>
  <w:abstractNum w:abstractNumId="2">
    <w:nsid w:val="512A0238"/>
    <w:multiLevelType w:val="singleLevel"/>
    <w:tmpl w:val="5EC2B816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cs="Times New Roman"/>
      </w:rPr>
    </w:lvl>
  </w:abstractNum>
  <w:abstractNum w:abstractNumId="3">
    <w:nsid w:val="56E965B9"/>
    <w:multiLevelType w:val="hybridMultilevel"/>
    <w:tmpl w:val="5512E9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546D21"/>
    <w:rsid w:val="001C5D13"/>
    <w:rsid w:val="002B3439"/>
    <w:rsid w:val="003365D9"/>
    <w:rsid w:val="00546D21"/>
    <w:rsid w:val="00601679"/>
    <w:rsid w:val="00DA0354"/>
    <w:rsid w:val="00EB3CAB"/>
    <w:rsid w:val="00F94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D21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uiPriority w:val="99"/>
    <w:rsid w:val="00546D21"/>
    <w:pPr>
      <w:widowControl w:val="0"/>
      <w:autoSpaceDE w:val="0"/>
      <w:autoSpaceDN w:val="0"/>
      <w:adjustRightInd w:val="0"/>
      <w:spacing w:before="220" w:after="0" w:line="240" w:lineRule="auto"/>
      <w:ind w:left="40" w:hanging="20"/>
    </w:pPr>
    <w:rPr>
      <w:rFonts w:ascii="Arial" w:eastAsia="Times New Roman" w:hAnsi="Arial" w:cs="Arial"/>
      <w:sz w:val="18"/>
      <w:szCs w:val="18"/>
      <w:lang w:eastAsia="uk-UA"/>
    </w:rPr>
  </w:style>
  <w:style w:type="paragraph" w:styleId="2">
    <w:name w:val="Body Text 2"/>
    <w:basedOn w:val="a"/>
    <w:link w:val="20"/>
    <w:uiPriority w:val="99"/>
    <w:semiHidden/>
    <w:rsid w:val="00546D21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546D21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customStyle="1" w:styleId="normal">
    <w:name w:val="normal"/>
    <w:rsid w:val="00DA03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2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4417</Words>
  <Characters>2519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stomatology1</dc:creator>
  <cp:keywords/>
  <dc:description/>
  <cp:lastModifiedBy>stomatology1</cp:lastModifiedBy>
  <cp:revision>4</cp:revision>
  <dcterms:created xsi:type="dcterms:W3CDTF">2023-11-30T08:30:00Z</dcterms:created>
  <dcterms:modified xsi:type="dcterms:W3CDTF">2023-11-30T09:26:00Z</dcterms:modified>
</cp:coreProperties>
</file>