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9D7" w:rsidRPr="003553D4" w:rsidRDefault="003553D4">
      <w:pPr>
        <w:keepNext/>
        <w:keepLines/>
        <w:spacing w:after="0" w:line="240" w:lineRule="auto"/>
        <w:jc w:val="center"/>
        <w:rPr>
          <w:lang w:val="ru-RU"/>
        </w:rPr>
      </w:pPr>
      <w:r w:rsidRPr="003553D4">
        <w:rPr>
          <w:b/>
          <w:lang w:val="ru-RU"/>
        </w:rPr>
        <w:t>МІНІСТЕРСТВО ОХОРОНИ ЗДОРОВ'Я УКРАЇНИ</w:t>
      </w:r>
    </w:p>
    <w:p w:rsidR="00C519D7" w:rsidRPr="003553D4" w:rsidRDefault="003553D4">
      <w:pPr>
        <w:keepNext/>
        <w:keepLines/>
        <w:spacing w:after="0" w:line="240" w:lineRule="auto"/>
        <w:jc w:val="center"/>
        <w:rPr>
          <w:lang w:val="ru-RU"/>
        </w:rPr>
      </w:pPr>
      <w:r w:rsidRPr="003553D4">
        <w:rPr>
          <w:b/>
          <w:lang w:val="ru-RU"/>
        </w:rPr>
        <w:t>ВІННИЦЬКИЙ НАЦІОНАЛЬНИЙ МЕДИЧНИЙ УНІВЕРСИТЕТ</w:t>
      </w:r>
    </w:p>
    <w:p w:rsidR="00C519D7" w:rsidRPr="003553D4" w:rsidRDefault="003553D4">
      <w:pPr>
        <w:keepNext/>
        <w:keepLines/>
        <w:spacing w:after="0" w:line="240" w:lineRule="auto"/>
        <w:jc w:val="center"/>
        <w:rPr>
          <w:lang w:val="ru-RU"/>
        </w:rPr>
      </w:pPr>
      <w:r w:rsidRPr="003553D4">
        <w:rPr>
          <w:b/>
          <w:lang w:val="ru-RU"/>
        </w:rPr>
        <w:t>ім. М.І. ПИРОГОВА</w:t>
      </w:r>
    </w:p>
    <w:p w:rsidR="003553D4" w:rsidRDefault="003553D4" w:rsidP="003553D4">
      <w:pPr>
        <w:keepNext/>
        <w:keepLines/>
        <w:spacing w:after="320" w:line="240" w:lineRule="auto"/>
        <w:jc w:val="right"/>
        <w:rPr>
          <w:lang w:val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A541E6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541E6C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/>
        </w:rPr>
        <w:t>“</w:t>
      </w:r>
      <w:proofErr w:type="spellStart"/>
      <w:r>
        <w:rPr>
          <w:lang w:val="ru-RU"/>
        </w:rPr>
        <w:t>Затверджено</w:t>
      </w:r>
      <w:proofErr w:type="spellEnd"/>
      <w:r>
        <w:rPr>
          <w:lang w:val="ru-RU"/>
        </w:rPr>
        <w:t>”</w:t>
      </w:r>
      <w:r>
        <w:rPr>
          <w:lang w:val="ru-RU"/>
        </w:rPr>
        <w:br/>
        <w:t xml:space="preserve">на </w:t>
      </w:r>
      <w:proofErr w:type="spellStart"/>
      <w:r>
        <w:rPr>
          <w:lang w:val="ru-RU"/>
        </w:rPr>
        <w:t>методичній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нараді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стоматології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дитячого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віку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завідувач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br/>
        <w:t>_________________Микола ДМІТРІЄВ</w:t>
      </w:r>
      <w:r>
        <w:rPr>
          <w:lang w:val="ru-RU"/>
        </w:rPr>
        <w:br/>
        <w:t xml:space="preserve">«28» </w:t>
      </w:r>
      <w:proofErr w:type="spellStart"/>
      <w:r>
        <w:rPr>
          <w:lang w:val="ru-RU"/>
        </w:rPr>
        <w:t>серпня</w:t>
      </w:r>
      <w:proofErr w:type="spellEnd"/>
      <w:r>
        <w:rPr>
          <w:lang w:val="ru-RU"/>
        </w:rPr>
        <w:t xml:space="preserve"> 2026 р.</w:t>
      </w:r>
    </w:p>
    <w:p w:rsidR="00C519D7" w:rsidRPr="003553D4" w:rsidRDefault="003553D4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3553D4">
        <w:rPr>
          <w:b/>
          <w:sz w:val="28"/>
          <w:lang w:val="ru-RU"/>
        </w:rPr>
        <w:t>МЕТОДИЧНІ РЕКОМЕНДАЦІЇ</w:t>
      </w:r>
    </w:p>
    <w:p w:rsidR="00C519D7" w:rsidRPr="003553D4" w:rsidRDefault="003553D4">
      <w:pPr>
        <w:keepNext/>
        <w:keepLines/>
        <w:spacing w:after="240" w:line="240" w:lineRule="auto"/>
        <w:jc w:val="center"/>
        <w:rPr>
          <w:lang w:val="ru-RU"/>
        </w:rPr>
      </w:pPr>
      <w:r w:rsidRPr="003553D4">
        <w:rPr>
          <w:lang w:val="ru-RU"/>
        </w:rPr>
        <w:t xml:space="preserve">для </w:t>
      </w:r>
      <w:r w:rsidRPr="003553D4">
        <w:rPr>
          <w:lang w:val="ru-RU"/>
        </w:rPr>
        <w:t>лікарів-інтернів при підготовці</w:t>
      </w:r>
      <w:r w:rsidRPr="003553D4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C519D7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Терапевтична стоматологія дитячого віку</w:t>
            </w:r>
          </w:p>
        </w:tc>
      </w:tr>
      <w:tr w:rsidR="00C519D7" w:rsidRPr="003553D4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Pr="003553D4" w:rsidRDefault="003553D4">
            <w:pPr>
              <w:rPr>
                <w:lang w:val="ru-RU"/>
              </w:rPr>
            </w:pPr>
            <w:r w:rsidRPr="003553D4">
              <w:rPr>
                <w:lang w:val="ru-RU"/>
              </w:rPr>
              <w:t>Класифікація хвороб слизової оболонки порожнини рота. Ушкодження слизової оболонки ротової порожнини.</w:t>
            </w:r>
          </w:p>
        </w:tc>
      </w:tr>
      <w:tr w:rsidR="00C519D7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4</w:t>
            </w:r>
          </w:p>
        </w:tc>
      </w:tr>
      <w:tr w:rsidR="00C519D7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Факультет та фо</w:t>
            </w:r>
            <w:r>
              <w:t>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19D7" w:rsidRDefault="003553D4">
            <w:r>
              <w:t>Стоматологічний, денна</w:t>
            </w:r>
          </w:p>
        </w:tc>
      </w:tr>
    </w:tbl>
    <w:p w:rsidR="00C519D7" w:rsidRDefault="00C519D7">
      <w:pPr>
        <w:spacing w:before="3100" w:after="0" w:line="240" w:lineRule="auto"/>
        <w:jc w:val="center"/>
      </w:pPr>
    </w:p>
    <w:p w:rsidR="00C519D7" w:rsidRDefault="003553D4">
      <w:pPr>
        <w:keepNext/>
        <w:keepLines/>
        <w:spacing w:after="0" w:line="240" w:lineRule="auto"/>
        <w:jc w:val="center"/>
      </w:pPr>
      <w:r>
        <w:t>Вінниця 2026</w:t>
      </w:r>
    </w:p>
    <w:p w:rsidR="00C519D7" w:rsidRDefault="003553D4">
      <w:r>
        <w:br w:type="page"/>
      </w:r>
    </w:p>
    <w:p w:rsidR="00C519D7" w:rsidRDefault="003553D4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C519D7" w:rsidRPr="003553D4" w:rsidRDefault="003553D4">
      <w:pPr>
        <w:widowControl w:val="0"/>
        <w:numPr>
          <w:ilvl w:val="0"/>
          <w:numId w:val="1"/>
        </w:numPr>
        <w:tabs>
          <w:tab w:val="clear" w:pos="360"/>
          <w:tab w:val="left" w:pos="368"/>
        </w:tabs>
        <w:spacing w:after="0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Актуальність теми: </w:t>
      </w:r>
      <w:r>
        <w:rPr>
          <w:color w:val="000000"/>
          <w:lang w:val="uk-UA" w:eastAsia="uk-UA" w:bidi="uk-UA"/>
        </w:rPr>
        <w:t xml:space="preserve">Серед стоматологічних захворювань особливе місце посідають процеси, які пов’язані з ураженням СОПР. Їх велика різноманітність, широкий спектр </w:t>
      </w:r>
      <w:r>
        <w:rPr>
          <w:color w:val="000000"/>
          <w:lang w:val="uk-UA" w:eastAsia="uk-UA" w:bidi="uk-UA"/>
        </w:rPr>
        <w:t>етіологічних чинників, складний, а в деяких випадках не досить ясний патогенез, ускладнюють систематизацію цієї патології. Лікарі-стоматологи повинні розуміти термінологію захворювань СОПР і відобразити їх в класифікаціях. Серед них особливий інтерес викли</w:t>
      </w:r>
      <w:r>
        <w:rPr>
          <w:color w:val="000000"/>
          <w:lang w:val="uk-UA" w:eastAsia="uk-UA" w:bidi="uk-UA"/>
        </w:rPr>
        <w:t>кають ті, в структурі яких відображені основні етіопатогенетичні і клінічні ознаки захворювання.</w:t>
      </w:r>
    </w:p>
    <w:p w:rsidR="00C519D7" w:rsidRDefault="003553D4">
      <w:pPr>
        <w:keepNext/>
        <w:keepLines/>
        <w:widowControl w:val="0"/>
        <w:numPr>
          <w:ilvl w:val="0"/>
          <w:numId w:val="1"/>
        </w:numPr>
        <w:tabs>
          <w:tab w:val="clear" w:pos="360"/>
          <w:tab w:val="left" w:pos="358"/>
        </w:tabs>
        <w:spacing w:after="0"/>
        <w:ind w:left="0" w:firstLine="0"/>
      </w:pPr>
      <w:bookmarkStart w:id="1" w:name="bookmark0"/>
      <w:r>
        <w:rPr>
          <w:color w:val="000000"/>
          <w:lang w:val="uk-UA" w:eastAsia="uk-UA" w:bidi="uk-UA"/>
        </w:rPr>
        <w:t>Конкретні цілі</w:t>
      </w:r>
      <w:bookmarkEnd w:id="1"/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аналізувати загальні уявлення про класифікації;</w:t>
      </w:r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пояснювати класифікацію захворювань СОПР М.Ф.Данилевського;</w:t>
      </w:r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пояснювати класифікацію захворювань </w:t>
      </w:r>
      <w:r>
        <w:rPr>
          <w:color w:val="000000"/>
          <w:lang w:val="uk-UA" w:eastAsia="uk-UA" w:bidi="uk-UA"/>
        </w:rPr>
        <w:t>СОПР П.Т.Максименка;</w:t>
      </w:r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проаналізувати класифікацію захворювань СОПР МКХ-10;</w:t>
      </w:r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класифікувати діагноз захворювань СОПР згідно систематики М.Ф.Данилевського;</w:t>
      </w:r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класифікувати діагноз захворювань СОПР згідно систематики П.Т.Максименка;</w:t>
      </w:r>
    </w:p>
    <w:p w:rsidR="00C519D7" w:rsidRPr="003553D4" w:rsidRDefault="003553D4">
      <w:pPr>
        <w:widowControl w:val="0"/>
        <w:numPr>
          <w:ilvl w:val="0"/>
          <w:numId w:val="3"/>
        </w:numPr>
        <w:tabs>
          <w:tab w:val="left" w:pos="262"/>
        </w:tabs>
        <w:spacing w:after="240" w:line="18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класифікувати діагноз </w:t>
      </w:r>
      <w:r>
        <w:rPr>
          <w:color w:val="000000"/>
          <w:lang w:val="uk-UA" w:eastAsia="uk-UA" w:bidi="uk-UA"/>
        </w:rPr>
        <w:t>захворювань СОПР згідно систематики МКХ-10.</w:t>
      </w:r>
    </w:p>
    <w:p w:rsidR="00C519D7" w:rsidRDefault="003553D4">
      <w:pPr>
        <w:keepNext/>
        <w:keepLines/>
        <w:widowControl w:val="0"/>
        <w:numPr>
          <w:ilvl w:val="0"/>
          <w:numId w:val="1"/>
        </w:numPr>
        <w:tabs>
          <w:tab w:val="clear" w:pos="360"/>
          <w:tab w:val="left" w:pos="358"/>
        </w:tabs>
        <w:spacing w:after="0"/>
        <w:ind w:left="0" w:firstLine="0"/>
      </w:pPr>
      <w:bookmarkStart w:id="2" w:name="bookmark2"/>
      <w:r>
        <w:rPr>
          <w:color w:val="000000"/>
          <w:lang w:val="uk-UA" w:eastAsia="uk-UA" w:bidi="uk-UA"/>
        </w:rPr>
        <w:t>Теоретичні питання до заняття:</w:t>
      </w:r>
      <w:bookmarkEnd w:id="2"/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44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Назвіть принципи побудови класифікацій хвороб СОПР.</w:t>
      </w:r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54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Охарактеризуйте класифікацію захворювань СОПР М.Ф.Данилевського.</w:t>
      </w:r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58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Назвіть самостійні, симптоматичні захворювання та синдроми за кл</w:t>
      </w:r>
      <w:r>
        <w:rPr>
          <w:color w:val="000000"/>
          <w:lang w:val="uk-UA" w:eastAsia="uk-UA" w:bidi="uk-UA"/>
        </w:rPr>
        <w:t>асифікацією захворювань СОПР М.Ф.Данилевського.</w:t>
      </w:r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58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Охарактеризуйте класифікацію захворювань СОПР П.Т.Максименка.</w:t>
      </w:r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58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Назвати основні групи захворювань в залежності від етіологічних чинників та патогенезу за класифікацією захворювань СОПР П.Т.Максименка.</w:t>
      </w:r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54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Охарактер</w:t>
      </w:r>
      <w:r>
        <w:rPr>
          <w:color w:val="000000"/>
          <w:lang w:val="uk-UA" w:eastAsia="uk-UA" w:bidi="uk-UA"/>
        </w:rPr>
        <w:t>изуйте класифікацію захворювань СОПР МКХ-10.</w:t>
      </w:r>
    </w:p>
    <w:p w:rsidR="00C519D7" w:rsidRPr="003553D4" w:rsidRDefault="003553D4">
      <w:pPr>
        <w:widowControl w:val="0"/>
        <w:numPr>
          <w:ilvl w:val="0"/>
          <w:numId w:val="5"/>
        </w:numPr>
        <w:tabs>
          <w:tab w:val="clear" w:pos="360"/>
          <w:tab w:val="left" w:pos="349"/>
        </w:tabs>
        <w:spacing w:after="24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Відмітьте позитивні сторони та недоліки цих класифікацій.</w:t>
      </w:r>
    </w:p>
    <w:p w:rsidR="00C519D7" w:rsidRPr="003553D4" w:rsidRDefault="003553D4">
      <w:pPr>
        <w:keepNext/>
        <w:keepLines/>
        <w:widowControl w:val="0"/>
        <w:spacing w:after="240"/>
        <w:rPr>
          <w:lang w:val="ru-RU"/>
        </w:rPr>
      </w:pPr>
      <w:bookmarkStart w:id="3" w:name="bookmark4"/>
      <w:r>
        <w:rPr>
          <w:color w:val="000000"/>
          <w:lang w:val="uk-UA" w:eastAsia="uk-UA" w:bidi="uk-UA"/>
        </w:rPr>
        <w:t>Зміст теми :</w:t>
      </w:r>
      <w:bookmarkEnd w:id="3"/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Класифікація захворювань СОПР МКХ-10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К 12 Стоматит та пов’язані з ним ураження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Виключено: виразка порожнини рота, що розпадається (А69.0)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хейліт (К13.0)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гангренозний стоматит (А69.0)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герпетичний (простий герпес) гінгівостоматит (В00.2)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нома (А69.0) К 12.0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Рецидивуючі афти порожнини рота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Афтозний стоматит (великий) (малий)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Афти Беднара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Рецидивуючий слизово-некротичний періаденіт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Рецидивуюча а</w:t>
      </w:r>
      <w:r>
        <w:rPr>
          <w:color w:val="000000"/>
          <w:lang w:val="uk-UA" w:eastAsia="uk-UA" w:bidi="uk-UA"/>
        </w:rPr>
        <w:t>фтозна виразка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Герпетичний стоматит К 12.1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Інші форми стоматиту</w:t>
      </w:r>
    </w:p>
    <w:p w:rsidR="00C519D7" w:rsidRDefault="003553D4">
      <w:pPr>
        <w:widowControl w:val="0"/>
        <w:spacing w:after="0"/>
      </w:pPr>
      <w:r>
        <w:rPr>
          <w:color w:val="000000"/>
          <w:lang w:val="uk-UA" w:eastAsia="uk-UA" w:bidi="uk-UA"/>
        </w:rPr>
        <w:t>Стоматит:</w:t>
      </w:r>
    </w:p>
    <w:p w:rsidR="00C519D7" w:rsidRDefault="003553D4">
      <w:pPr>
        <w:widowControl w:val="0"/>
        <w:numPr>
          <w:ilvl w:val="0"/>
          <w:numId w:val="7"/>
        </w:numPr>
        <w:tabs>
          <w:tab w:val="left" w:pos="282"/>
        </w:tabs>
        <w:spacing w:after="0" w:line="211" w:lineRule="auto"/>
        <w:ind w:left="0" w:firstLine="0"/>
      </w:pPr>
      <w:r>
        <w:rPr>
          <w:color w:val="000000"/>
          <w:lang w:val="uk-UA" w:eastAsia="uk-UA" w:bidi="uk-UA"/>
        </w:rPr>
        <w:t>БДВ</w:t>
      </w:r>
    </w:p>
    <w:p w:rsidR="00C519D7" w:rsidRDefault="003553D4">
      <w:pPr>
        <w:widowControl w:val="0"/>
        <w:numPr>
          <w:ilvl w:val="0"/>
          <w:numId w:val="7"/>
        </w:numPr>
        <w:tabs>
          <w:tab w:val="left" w:pos="282"/>
        </w:tabs>
        <w:spacing w:after="0" w:line="178" w:lineRule="auto"/>
        <w:ind w:left="0" w:firstLine="0"/>
      </w:pPr>
      <w:r>
        <w:rPr>
          <w:color w:val="000000"/>
          <w:lang w:val="uk-UA" w:eastAsia="uk-UA" w:bidi="uk-UA"/>
        </w:rPr>
        <w:t>зубного ряду</w:t>
      </w:r>
    </w:p>
    <w:p w:rsidR="00C519D7" w:rsidRDefault="003553D4">
      <w:pPr>
        <w:widowControl w:val="0"/>
        <w:numPr>
          <w:ilvl w:val="0"/>
          <w:numId w:val="7"/>
        </w:numPr>
        <w:tabs>
          <w:tab w:val="left" w:pos="282"/>
        </w:tabs>
        <w:spacing w:after="0" w:line="178" w:lineRule="auto"/>
        <w:ind w:left="0" w:firstLine="0"/>
      </w:pPr>
      <w:r>
        <w:rPr>
          <w:color w:val="000000"/>
          <w:lang w:val="uk-UA" w:eastAsia="uk-UA" w:bidi="uk-UA"/>
        </w:rPr>
        <w:t>виразковий</w:t>
      </w:r>
    </w:p>
    <w:p w:rsidR="00C519D7" w:rsidRDefault="003553D4">
      <w:pPr>
        <w:widowControl w:val="0"/>
        <w:numPr>
          <w:ilvl w:val="0"/>
          <w:numId w:val="7"/>
        </w:numPr>
        <w:tabs>
          <w:tab w:val="left" w:pos="282"/>
        </w:tabs>
        <w:spacing w:after="0" w:line="178" w:lineRule="auto"/>
        <w:ind w:left="0" w:firstLine="0"/>
      </w:pPr>
      <w:r>
        <w:rPr>
          <w:color w:val="000000"/>
          <w:lang w:val="uk-UA" w:eastAsia="uk-UA" w:bidi="uk-UA"/>
        </w:rPr>
        <w:lastRenderedPageBreak/>
        <w:t>везикулярний К 12.2</w:t>
      </w:r>
    </w:p>
    <w:p w:rsidR="00C519D7" w:rsidRDefault="003553D4">
      <w:pPr>
        <w:widowControl w:val="0"/>
        <w:spacing w:after="0" w:line="259" w:lineRule="auto"/>
      </w:pPr>
      <w:r>
        <w:rPr>
          <w:color w:val="000000"/>
          <w:lang w:val="uk-UA" w:eastAsia="uk-UA" w:bidi="uk-UA"/>
        </w:rPr>
        <w:t>Целюліт та абсцес порожнини рота</w:t>
      </w:r>
    </w:p>
    <w:p w:rsidR="00C519D7" w:rsidRDefault="003553D4">
      <w:pPr>
        <w:widowControl w:val="0"/>
        <w:spacing w:after="0" w:line="259" w:lineRule="auto"/>
      </w:pPr>
      <w:r>
        <w:rPr>
          <w:color w:val="000000"/>
          <w:lang w:val="uk-UA" w:eastAsia="uk-UA" w:bidi="uk-UA"/>
        </w:rPr>
        <w:t>Целюліт порожнини рота (дна)</w:t>
      </w:r>
    </w:p>
    <w:p w:rsidR="00C519D7" w:rsidRDefault="003553D4">
      <w:pPr>
        <w:widowControl w:val="0"/>
        <w:spacing w:after="0" w:line="259" w:lineRule="auto"/>
      </w:pPr>
      <w:r>
        <w:rPr>
          <w:color w:val="000000"/>
          <w:lang w:val="uk-UA" w:eastAsia="uk-UA" w:bidi="uk-UA"/>
        </w:rPr>
        <w:t>Абсцес підщелепної ділянки:</w:t>
      </w:r>
    </w:p>
    <w:p w:rsidR="00C519D7" w:rsidRPr="003553D4" w:rsidRDefault="003553D4">
      <w:pPr>
        <w:widowControl w:val="0"/>
        <w:spacing w:after="240" w:line="211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Виключено: абсцес: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періапікальний (К04.6-К04.7)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періодонтальний (К05.2)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перитонзилярний ^36)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слинної залози (К11.3)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>язика (К14.0) К 13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Інші хвороби губи та слизової оболонки порожнини рота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Включено: ушкодження епітелію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Виключено: деякі ушкодження ясен та беззуб</w:t>
      </w:r>
      <w:r>
        <w:rPr>
          <w:color w:val="000000"/>
          <w:lang w:val="uk-UA" w:eastAsia="uk-UA" w:bidi="uk-UA"/>
        </w:rPr>
        <w:t>ого альвеолярного краю (К05-К06)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кісти порожнини рота (К09.-)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хвороби язика (К14.-) стоматит та пов’язані з ним ураження (К </w:t>
      </w:r>
      <w:r w:rsidRPr="003553D4">
        <w:rPr>
          <w:color w:val="000000"/>
          <w:lang w:val="ru-RU" w:bidi="en-US"/>
        </w:rPr>
        <w:t xml:space="preserve">12.-) </w:t>
      </w:r>
      <w:r>
        <w:rPr>
          <w:color w:val="000000"/>
          <w:lang w:val="uk-UA" w:eastAsia="uk-UA" w:bidi="uk-UA"/>
        </w:rPr>
        <w:t xml:space="preserve">К </w:t>
      </w:r>
      <w:r w:rsidRPr="003553D4">
        <w:rPr>
          <w:color w:val="000000"/>
          <w:lang w:val="ru-RU" w:bidi="en-US"/>
        </w:rPr>
        <w:t>13.0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Хвороби губ Хейліт: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БДВ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ангулярний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ексфоліативний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>гландулярний Хейлодинія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Хейлоз Заїда НКІР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Виключено: арибофлавіноз (Е53.0) хейліт унаслідок радіаційного ураження </w:t>
      </w:r>
      <w:r w:rsidRPr="003553D4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L</w:t>
      </w:r>
      <w:r w:rsidRPr="003553D4">
        <w:rPr>
          <w:color w:val="000000"/>
          <w:lang w:val="ru-RU" w:bidi="en-US"/>
        </w:rPr>
        <w:t xml:space="preserve">55-59) </w:t>
      </w:r>
      <w:r>
        <w:rPr>
          <w:color w:val="000000"/>
          <w:lang w:val="uk-UA" w:eastAsia="uk-UA" w:bidi="uk-UA"/>
        </w:rPr>
        <w:t xml:space="preserve">заїда внаслідок: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 xml:space="preserve">кандидозу (В37.8) </w:t>
      </w:r>
      <w:r>
        <w:rPr>
          <w:rFonts w:ascii="Arial" w:eastAsia="Arial" w:hAnsi="Arial" w:cs="Arial"/>
          <w:color w:val="000000"/>
          <w:sz w:val="32"/>
          <w:szCs w:val="32"/>
          <w:lang w:val="uk-UA" w:eastAsia="uk-UA" w:bidi="uk-UA"/>
        </w:rPr>
        <w:t xml:space="preserve">• </w:t>
      </w:r>
      <w:r>
        <w:rPr>
          <w:color w:val="000000"/>
          <w:lang w:val="uk-UA" w:eastAsia="uk-UA" w:bidi="uk-UA"/>
        </w:rPr>
        <w:t>нестачі рибофлавіну (Е53.0) К 13.1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Прикушування щоки та губи К 13.2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Лейкоплакія та інші ураження епітелію порожнини рота, включаючи язик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Еритроплакія епітелію порожнини рота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Лейкедема з урахуванням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Нікотиновий лейкокератоз піднебіння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Піднебіння курця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Виключено: волосату лейкоплакію (К13.3) К 13.3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Волосата лейкоплакія К 13.4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Гранульома та гранулемоподібні ураження слизової оболонки по</w:t>
      </w:r>
      <w:r>
        <w:rPr>
          <w:color w:val="000000"/>
          <w:lang w:val="uk-UA" w:eastAsia="uk-UA" w:bidi="uk-UA"/>
        </w:rPr>
        <w:t>рожнини рота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Еозинофільна гранульома слизової оболонки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Піогенна гранульома порожнини рота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Бородавчаста ксантома К 13.5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Підслизовий фіброз порожнини рота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Підслизовий фіброз язика К 13.6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Гіперплазія слизової оболонки порожнини рота внаслідок подразнення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Виключено: гіперплазію беззубого краю (гіперплазію внаслідок зубного протезування) внаслідок подразнення (К06.2) К 13.7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Інші та неуточнені ураження слизової оболонки порожнини рота Фокальний муциноз порожнини рота К 14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Хвороби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Виключено: еритроплакію</w:t>
      </w:r>
      <w:r>
        <w:rPr>
          <w:color w:val="000000"/>
          <w:lang w:val="uk-UA" w:eastAsia="uk-UA" w:bidi="uk-UA"/>
        </w:rPr>
        <w:t xml:space="preserve"> локальну епітеліальну гіперплазію язика (К13.5)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лейкедему лейкоплакію волосату лейкоплакію (К13.3)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макроглосію (природжену) </w:t>
      </w:r>
      <w:r w:rsidRPr="003553D4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Q</w:t>
      </w:r>
      <w:r w:rsidRPr="003553D4">
        <w:rPr>
          <w:color w:val="000000"/>
          <w:lang w:val="ru-RU" w:bidi="en-US"/>
        </w:rPr>
        <w:t>38.2)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підслизовий фіброз язика (К13.5) К 14.0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Глосит Абсцес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Виразка (травматична)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Виключено: атрофічний глосит (К14.4) К </w:t>
      </w:r>
      <w:r>
        <w:rPr>
          <w:color w:val="000000"/>
          <w:lang w:val="uk-UA" w:eastAsia="uk-UA" w:bidi="uk-UA"/>
        </w:rPr>
        <w:t>14.1 „Географічний язик” Доброякісний мігруючий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глосит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Ексфоліативний глосит К 14.2 Серединний ромбовидний глосит К 14.3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Гіпертрофія сосочків язика „Чорний волохатий” язик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Обкладений язик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Гіпертрофія листоподібних сосочків </w:t>
      </w:r>
      <w:r>
        <w:rPr>
          <w:color w:val="000000"/>
          <w:lang w:bidi="en-US"/>
        </w:rPr>
        <w:t>Lingua</w:t>
      </w:r>
      <w:r w:rsidRPr="003553D4">
        <w:rPr>
          <w:color w:val="000000"/>
          <w:lang w:val="ru-RU" w:bidi="en-US"/>
        </w:rPr>
        <w:t xml:space="preserve"> </w:t>
      </w:r>
      <w:r>
        <w:rPr>
          <w:color w:val="000000"/>
          <w:lang w:bidi="en-US"/>
        </w:rPr>
        <w:t>villosa</w:t>
      </w:r>
      <w:r w:rsidRPr="003553D4">
        <w:rPr>
          <w:color w:val="000000"/>
          <w:lang w:val="ru-RU" w:bidi="en-US"/>
        </w:rPr>
        <w:t xml:space="preserve"> </w:t>
      </w:r>
      <w:r>
        <w:rPr>
          <w:color w:val="000000"/>
          <w:lang w:bidi="en-US"/>
        </w:rPr>
        <w:t>nigra</w:t>
      </w:r>
      <w:r w:rsidRPr="003553D4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К 14.4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Атроф</w:t>
      </w:r>
      <w:r>
        <w:rPr>
          <w:color w:val="000000"/>
          <w:lang w:val="uk-UA" w:eastAsia="uk-UA" w:bidi="uk-UA"/>
        </w:rPr>
        <w:t>ія сосочків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Атрофічний глосит К 14.5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Складчастий язик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Розщеплений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Борозенчастий язик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Зморшкуватий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Виключено: розщеплений язик, природжений </w:t>
      </w:r>
      <w:r w:rsidRPr="003553D4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Q</w:t>
      </w:r>
      <w:r w:rsidRPr="003553D4">
        <w:rPr>
          <w:color w:val="000000"/>
          <w:lang w:val="ru-RU" w:bidi="en-US"/>
        </w:rPr>
        <w:t xml:space="preserve">38.3) </w:t>
      </w:r>
      <w:r>
        <w:rPr>
          <w:color w:val="000000"/>
          <w:lang w:val="uk-UA" w:eastAsia="uk-UA" w:bidi="uk-UA"/>
        </w:rPr>
        <w:t>К 14.6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Глосодинія Глосопіроз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Глосалгія К 14.8 Інші хвороби язика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Атрофія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Зубчастий язик(а)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Збільшений Гіпертрофований К 14.9</w:t>
      </w:r>
    </w:p>
    <w:p w:rsidR="00C519D7" w:rsidRPr="003553D4" w:rsidRDefault="003553D4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Хвороба язика, неуточнена</w:t>
      </w:r>
    </w:p>
    <w:p w:rsidR="00C519D7" w:rsidRPr="003553D4" w:rsidRDefault="003553D4">
      <w:pPr>
        <w:widowControl w:val="0"/>
        <w:spacing w:after="0"/>
        <w:ind w:firstLine="300"/>
        <w:rPr>
          <w:lang w:val="ru-RU"/>
        </w:rPr>
      </w:pPr>
      <w:r>
        <w:rPr>
          <w:color w:val="000000"/>
          <w:lang w:val="uk-UA" w:eastAsia="uk-UA" w:bidi="uk-UA"/>
        </w:rPr>
        <w:t>Глосопатія БДВ</w:t>
      </w:r>
    </w:p>
    <w:p w:rsidR="00C519D7" w:rsidRPr="003553D4" w:rsidRDefault="003553D4">
      <w:pPr>
        <w:widowControl w:val="0"/>
        <w:spacing w:after="0"/>
        <w:ind w:firstLine="30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Література</w:t>
      </w:r>
    </w:p>
    <w:p w:rsidR="00C519D7" w:rsidRDefault="003553D4">
      <w:pPr>
        <w:keepNext/>
        <w:keepLines/>
        <w:widowControl w:val="0"/>
        <w:spacing w:line="240" w:lineRule="auto"/>
      </w:pPr>
      <w:bookmarkStart w:id="4" w:name="bookmark6"/>
      <w:r>
        <w:rPr>
          <w:color w:val="000000"/>
          <w:lang w:val="uk-UA" w:eastAsia="uk-UA" w:bidi="uk-UA"/>
        </w:rPr>
        <w:t>Список рекомендованої літератури</w:t>
      </w:r>
      <w:bookmarkEnd w:id="4"/>
    </w:p>
    <w:p w:rsidR="00C519D7" w:rsidRDefault="003553D4">
      <w:pPr>
        <w:widowControl w:val="0"/>
        <w:numPr>
          <w:ilvl w:val="0"/>
          <w:numId w:val="9"/>
        </w:numPr>
        <w:tabs>
          <w:tab w:val="left" w:pos="284"/>
        </w:tabs>
        <w:spacing w:after="0" w:line="264" w:lineRule="auto"/>
        <w:ind w:left="300" w:hanging="300"/>
        <w:jc w:val="both"/>
      </w:pPr>
      <w:r>
        <w:rPr>
          <w:color w:val="000000"/>
          <w:lang w:val="uk-UA" w:eastAsia="uk-UA" w:bidi="uk-UA"/>
        </w:rPr>
        <w:t>.Біденко Н. В., Борисенко А. В., Васильчук О. В., Волинець В. М., Воловар О. С., Голубєва І. М. та інш. Алгоритми виконання стоматологічн</w:t>
      </w:r>
      <w:r>
        <w:rPr>
          <w:color w:val="000000"/>
          <w:lang w:val="uk-UA" w:eastAsia="uk-UA" w:bidi="uk-UA"/>
        </w:rPr>
        <w:t>их і медичних маніпуляцій для підготовки до Державної атестації студентів 5 курсу за спеціальністю «Стоматологія». Київ, «Книга плюс», 2018.- 448 с.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294"/>
        </w:tabs>
        <w:spacing w:after="0" w:line="264" w:lineRule="auto"/>
        <w:ind w:left="300" w:hanging="300"/>
        <w:jc w:val="both"/>
      </w:pPr>
      <w:r>
        <w:rPr>
          <w:color w:val="000000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</w:t>
      </w:r>
      <w:r>
        <w:rPr>
          <w:color w:val="000000"/>
          <w:lang w:val="uk-UA" w:eastAsia="uk-UA" w:bidi="uk-UA"/>
        </w:rPr>
        <w:t>, 352 с.</w:t>
      </w:r>
    </w:p>
    <w:p w:rsidR="00C519D7" w:rsidRPr="003553D4" w:rsidRDefault="003553D4">
      <w:pPr>
        <w:widowControl w:val="0"/>
        <w:numPr>
          <w:ilvl w:val="0"/>
          <w:numId w:val="9"/>
        </w:numPr>
        <w:tabs>
          <w:tab w:val="left" w:pos="298"/>
        </w:tabs>
        <w:spacing w:after="0" w:line="264" w:lineRule="auto"/>
        <w:ind w:left="300" w:hanging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. Стоматологія у 2х книгах. Книга 2: підручник. Н.Рожко, И.Кириленко, О.Г. Денисенко. - 2018, 992 с.</w:t>
      </w:r>
    </w:p>
    <w:p w:rsidR="00C519D7" w:rsidRPr="003553D4" w:rsidRDefault="003553D4">
      <w:pPr>
        <w:widowControl w:val="0"/>
        <w:numPr>
          <w:ilvl w:val="0"/>
          <w:numId w:val="9"/>
        </w:numPr>
        <w:tabs>
          <w:tab w:val="left" w:pos="308"/>
        </w:tabs>
        <w:spacing w:after="0" w:line="264" w:lineRule="auto"/>
        <w:ind w:left="300" w:hanging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.Стоматологія у 2х книгах. Книга 2: підручник. Н.Рожко, И.Кириленко, О.Г. Денисенко. -2018, 992 с.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294"/>
        </w:tabs>
        <w:spacing w:after="0" w:line="264" w:lineRule="auto"/>
        <w:ind w:left="0" w:firstLine="0"/>
      </w:pPr>
      <w:r>
        <w:rPr>
          <w:color w:val="000000"/>
          <w:lang w:val="uk-UA" w:eastAsia="uk-UA" w:bidi="uk-UA"/>
        </w:rPr>
        <w:t>. Рожко М.М., Попович В.Д., Куроєдова В.Д. Стом</w:t>
      </w:r>
      <w:r>
        <w:rPr>
          <w:color w:val="000000"/>
          <w:lang w:val="uk-UA" w:eastAsia="uk-UA" w:bidi="uk-UA"/>
        </w:rPr>
        <w:t>атологія: у 2 книгах. «Медицина», 2018 р., 992 с.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294"/>
        </w:tabs>
        <w:spacing w:after="0" w:line="240" w:lineRule="auto"/>
        <w:ind w:left="300" w:hanging="300"/>
      </w:pPr>
      <w:r>
        <w:rPr>
          <w:color w:val="000000"/>
          <w:lang w:val="uk-UA" w:eastAsia="uk-UA" w:bidi="uk-UA"/>
        </w:rPr>
        <w:t>. Ілько А.А. Анестезіологія, інтенсивна терапія і реаніматологія: навчальний посібник (ВНЗ І-ІІІ р.а.). 2е вид. -2018. - 256 с.</w:t>
      </w:r>
    </w:p>
    <w:p w:rsidR="00C519D7" w:rsidRPr="003553D4" w:rsidRDefault="003553D4">
      <w:pPr>
        <w:widowControl w:val="0"/>
        <w:numPr>
          <w:ilvl w:val="0"/>
          <w:numId w:val="9"/>
        </w:numPr>
        <w:tabs>
          <w:tab w:val="left" w:pos="289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.Малик С.В. Хірургія для стоматологічних факультетів. -Нова книга.-2020. -440 </w:t>
      </w:r>
      <w:r>
        <w:rPr>
          <w:color w:val="000000"/>
          <w:lang w:val="uk-UA" w:eastAsia="uk-UA" w:bidi="uk-UA"/>
        </w:rPr>
        <w:t>с.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289"/>
        </w:tabs>
        <w:spacing w:after="0"/>
        <w:ind w:left="300" w:hanging="300"/>
        <w:jc w:val="both"/>
      </w:pPr>
      <w:r>
        <w:rPr>
          <w:color w:val="000000"/>
          <w:lang w:val="uk-UA" w:eastAsia="uk-UA" w:bidi="uk-UA"/>
        </w:rPr>
        <w:t>.Профілактика стоматологічних захворювань: підруч. для студ. вищих мед. навч. закл. / Л. Ф. Каськова, Л. І. Амосова, О. О. Карпенко [та ін.]; за ред. проф. Л. Ф. Каськової. — Х.: Факт, 2019. — 392 с.: іл. ISBN 978-966-637-697-1.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298"/>
        </w:tabs>
        <w:spacing w:after="0"/>
        <w:ind w:left="300" w:hanging="300"/>
        <w:jc w:val="both"/>
      </w:pPr>
      <w:r>
        <w:rPr>
          <w:color w:val="000000"/>
          <w:lang w:val="uk-UA" w:eastAsia="uk-UA" w:bidi="uk-UA"/>
        </w:rPr>
        <w:t xml:space="preserve">.Мельник В.С., Горзов </w:t>
      </w:r>
      <w:r>
        <w:rPr>
          <w:color w:val="000000"/>
          <w:lang w:val="uk-UA" w:eastAsia="uk-UA" w:bidi="uk-UA"/>
        </w:rPr>
        <w:t>Л.Ф., Халак Р.О. М 38 Дитяча хірургічна стоматологія: Навчальний посібник. - Ужгород: Видавництво УжНУ «Говерла», 2018. - 92 с.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409"/>
        </w:tabs>
        <w:spacing w:after="0"/>
        <w:ind w:left="300" w:hanging="300"/>
        <w:jc w:val="both"/>
      </w:pPr>
      <w:r>
        <w:rPr>
          <w:color w:val="000000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</w:t>
      </w:r>
      <w:r>
        <w:rPr>
          <w:color w:val="000000"/>
          <w:lang w:val="uk-UA" w:eastAsia="uk-UA" w:bidi="uk-UA"/>
        </w:rPr>
        <w:t>азакової. - Ужгород : Говерла, 2018. - 128 с.</w:t>
      </w:r>
    </w:p>
    <w:p w:rsidR="00C519D7" w:rsidRPr="003553D4" w:rsidRDefault="003553D4">
      <w:pPr>
        <w:widowControl w:val="0"/>
        <w:numPr>
          <w:ilvl w:val="0"/>
          <w:numId w:val="9"/>
        </w:numPr>
        <w:tabs>
          <w:tab w:val="left" w:pos="404"/>
        </w:tabs>
        <w:spacing w:after="0"/>
        <w:ind w:left="300" w:hanging="30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.Обстеження дітей із хірургічними захворюваннями щелепно-лицевої ділянки. Затверджено </w:t>
      </w:r>
      <w:r>
        <w:rPr>
          <w:color w:val="000000"/>
          <w:lang w:val="uk-UA" w:eastAsia="uk-UA" w:bidi="uk-UA"/>
        </w:rPr>
        <w:lastRenderedPageBreak/>
        <w:t>Вченою Радою Національного медичного університету імені О.О. Богомольця як навчальний посібник для студентів, лікарів-інтерн</w:t>
      </w:r>
      <w:r>
        <w:rPr>
          <w:color w:val="000000"/>
          <w:lang w:val="uk-UA" w:eastAsia="uk-UA" w:bidi="uk-UA"/>
        </w:rPr>
        <w:t>ів стоматологічного факультету україномовної форми навчання вищих медичних навчальних закладів України ІІІ-ГУ рівня акредитації, щелепно- лицевих хірургів, хірургів-стоматологів, логопедів та лікарів-ортодонтів (протокол № 13 від 18 червня 2021 року) Автор</w:t>
      </w:r>
      <w:r>
        <w:rPr>
          <w:color w:val="000000"/>
          <w:lang w:val="uk-UA" w:eastAsia="uk-UA" w:bidi="uk-UA"/>
        </w:rPr>
        <w:t>: Яковенко Л.М., Чехова І.Л., Єфименко В.П. 2022р.</w:t>
      </w:r>
    </w:p>
    <w:p w:rsidR="00C519D7" w:rsidRDefault="003553D4">
      <w:pPr>
        <w:widowControl w:val="0"/>
        <w:numPr>
          <w:ilvl w:val="0"/>
          <w:numId w:val="9"/>
        </w:numPr>
        <w:tabs>
          <w:tab w:val="left" w:pos="418"/>
        </w:tabs>
        <w:spacing w:after="780"/>
        <w:ind w:left="0" w:firstLine="0"/>
        <w:jc w:val="both"/>
      </w:pPr>
      <w:r>
        <w:rPr>
          <w:color w:val="000000"/>
          <w:lang w:val="uk-UA" w:eastAsia="uk-UA" w:bidi="uk-UA"/>
        </w:rPr>
        <w:t>.Борисенко А. В., Коленко Ю. Г., Мялківський К. О. Мікробна екологія пародонту в осіб молодого віку //Сучасна стоматологія. - 2018. - №. 5. - С. 28-31.9</w:t>
      </w:r>
    </w:p>
    <w:p w:rsidR="00C519D7" w:rsidRDefault="003553D4">
      <w:pPr>
        <w:keepNext/>
        <w:keepLines/>
        <w:widowControl w:val="0"/>
        <w:spacing w:after="0"/>
        <w:ind w:firstLine="300"/>
      </w:pPr>
      <w:bookmarkStart w:id="5" w:name="bookmark8"/>
      <w:r>
        <w:rPr>
          <w:color w:val="000000"/>
          <w:lang w:val="uk-UA" w:eastAsia="uk-UA" w:bidi="uk-UA"/>
        </w:rPr>
        <w:t>Додаткова література:</w:t>
      </w:r>
      <w:bookmarkEnd w:id="5"/>
    </w:p>
    <w:p w:rsidR="00C519D7" w:rsidRPr="003553D4" w:rsidRDefault="003553D4">
      <w:pPr>
        <w:widowControl w:val="0"/>
        <w:numPr>
          <w:ilvl w:val="0"/>
          <w:numId w:val="10"/>
        </w:numPr>
        <w:tabs>
          <w:tab w:val="left" w:pos="1343"/>
        </w:tabs>
        <w:spacing w:after="0"/>
        <w:ind w:left="1300" w:hanging="360"/>
        <w:rPr>
          <w:lang w:val="ru-RU"/>
        </w:rPr>
      </w:pPr>
      <w:r>
        <w:rPr>
          <w:color w:val="000000"/>
          <w:lang w:val="uk-UA" w:eastAsia="uk-UA" w:bidi="uk-UA"/>
        </w:rPr>
        <w:t xml:space="preserve">Мочалов Ю.О. Перспективи </w:t>
      </w:r>
      <w:r>
        <w:rPr>
          <w:color w:val="000000"/>
          <w:lang w:val="uk-UA" w:eastAsia="uk-UA" w:bidi="uk-UA"/>
        </w:rPr>
        <w:t>подальшого вдосконалення стоматологічних 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C519D7" w:rsidRPr="003553D4" w:rsidRDefault="003553D4">
      <w:pPr>
        <w:widowControl w:val="0"/>
        <w:numPr>
          <w:ilvl w:val="0"/>
          <w:numId w:val="10"/>
        </w:numPr>
        <w:tabs>
          <w:tab w:val="left" w:pos="1063"/>
        </w:tabs>
        <w:spacing w:after="0"/>
        <w:ind w:left="1020" w:hanging="360"/>
        <w:rPr>
          <w:lang w:val="ru-RU"/>
        </w:rPr>
      </w:pPr>
      <w:r>
        <w:rPr>
          <w:color w:val="000000"/>
          <w:lang w:val="uk-UA" w:eastAsia="uk-UA" w:bidi="uk-UA"/>
        </w:rPr>
        <w:t>Ашаренкова О.В. Особливості своєчасної</w:t>
      </w:r>
      <w:r>
        <w:rPr>
          <w:color w:val="000000"/>
          <w:lang w:val="uk-UA" w:eastAsia="uk-UA" w:bidi="uk-UA"/>
        </w:rPr>
        <w:t xml:space="preserve"> діагностики пухлиноподібних новоутворень на альвеолярних паростках щелеп (клінічний випадок) / О.В. Ашаренкова // Науково-практичний журнал Вісник стоматології. - 2020. - Т. 38. - № 4 (113). - С. 60-63.</w:t>
      </w:r>
    </w:p>
    <w:p w:rsidR="00C519D7" w:rsidRDefault="003553D4">
      <w:pPr>
        <w:widowControl w:val="0"/>
        <w:numPr>
          <w:ilvl w:val="0"/>
          <w:numId w:val="10"/>
        </w:numPr>
        <w:tabs>
          <w:tab w:val="left" w:pos="1063"/>
        </w:tabs>
        <w:spacing w:after="0"/>
        <w:ind w:left="1020" w:hanging="360"/>
      </w:pPr>
      <w:r>
        <w:rPr>
          <w:color w:val="000000"/>
          <w:lang w:bidi="en-US"/>
        </w:rPr>
        <w:t>Biloklytska Galyna F. Resources to improve the effec</w:t>
      </w:r>
      <w:r>
        <w:rPr>
          <w:color w:val="000000"/>
          <w:lang w:bidi="en-US"/>
        </w:rPr>
        <w:t xml:space="preserve">tiveness of periodontal treatment in patients with diabetes mellitus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  <w:lang w:bidi="en-US"/>
        </w:rPr>
        <w:t xml:space="preserve">Galyna F. Biloklytska, Svitlana Yu. Viala </w:t>
      </w:r>
      <w:r>
        <w:rPr>
          <w:color w:val="000000"/>
          <w:lang w:val="uk-UA" w:eastAsia="uk-UA" w:bidi="uk-UA"/>
        </w:rPr>
        <w:t xml:space="preserve">// </w:t>
      </w:r>
      <w:r>
        <w:rPr>
          <w:color w:val="000000"/>
          <w:lang w:bidi="en-US"/>
        </w:rPr>
        <w:t>Wiadomosci Lekarskie</w:t>
      </w:r>
      <w:r>
        <w:rPr>
          <w:i/>
          <w:iCs/>
          <w:color w:val="000000"/>
          <w:lang w:bidi="en-US"/>
        </w:rPr>
        <w:t>.</w:t>
      </w:r>
      <w:r>
        <w:rPr>
          <w:color w:val="000000"/>
          <w:lang w:bidi="en-US"/>
        </w:rPr>
        <w:t xml:space="preserve"> - 2021. - - LXXIV. - ISSUE - 3. - Part - 2.- P. 702 - 708.</w:t>
      </w:r>
    </w:p>
    <w:p w:rsidR="00C519D7" w:rsidRDefault="003553D4">
      <w:pPr>
        <w:widowControl w:val="0"/>
        <w:numPr>
          <w:ilvl w:val="0"/>
          <w:numId w:val="10"/>
        </w:numPr>
        <w:tabs>
          <w:tab w:val="left" w:pos="1063"/>
        </w:tabs>
        <w:spacing w:after="460"/>
        <w:ind w:left="1020" w:hanging="360"/>
      </w:pPr>
      <w:r>
        <w:rPr>
          <w:color w:val="000000"/>
          <w:lang w:bidi="en-US"/>
        </w:rPr>
        <w:t>Kopchak Oksana Improvement of treatment guidelines for pati</w:t>
      </w:r>
      <w:r>
        <w:rPr>
          <w:color w:val="000000"/>
          <w:lang w:bidi="en-US"/>
        </w:rPr>
        <w:t xml:space="preserve">ents with gingival fibromatosis considering interdisciplinary approach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  <w:lang w:bidi="en-US"/>
        </w:rPr>
        <w:t xml:space="preserve">Oksana Kopchak, Oleksii Azarov, Svetlana Cherniak, Olha Asharenkova, Karolina Airapetian </w:t>
      </w:r>
      <w:r>
        <w:rPr>
          <w:color w:val="000000"/>
          <w:lang w:val="uk-UA" w:eastAsia="uk-UA" w:bidi="uk-UA"/>
        </w:rPr>
        <w:t xml:space="preserve">// </w:t>
      </w:r>
      <w:r>
        <w:rPr>
          <w:color w:val="000000"/>
          <w:lang w:bidi="en-US"/>
        </w:rPr>
        <w:t xml:space="preserve">Stomatologia Wspolczesna. - 2021. - Vol. 28. - № 1-2. - </w:t>
      </w:r>
      <w:r>
        <w:rPr>
          <w:color w:val="000000"/>
          <w:lang w:val="uk-UA" w:eastAsia="uk-UA" w:bidi="uk-UA"/>
        </w:rPr>
        <w:t xml:space="preserve">Р. </w:t>
      </w:r>
      <w:r>
        <w:rPr>
          <w:color w:val="000000"/>
          <w:lang w:bidi="en-US"/>
        </w:rPr>
        <w:t>21 - 27.</w:t>
      </w:r>
    </w:p>
    <w:sectPr w:rsidR="00C519D7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205E53"/>
    <w:multiLevelType w:val="multilevel"/>
    <w:tmpl w:val="A2040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53D4"/>
    <w:rsid w:val="00AA1D8D"/>
    <w:rsid w:val="00B47730"/>
    <w:rsid w:val="00C519D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50A0E31-B85D-4D59-AE23-91090A60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297B0E-5509-42D7-8978-E281A77C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5324</Words>
  <Characters>3036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2026-09-10T10:10:00Z</dcterms:modified>
  <cp:category/>
</cp:coreProperties>
</file>